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9F334" w14:textId="77777777" w:rsidR="00A772F4" w:rsidRPr="00C92999" w:rsidRDefault="00A772F4" w:rsidP="00A772F4">
      <w:pPr>
        <w:tabs>
          <w:tab w:val="left" w:pos="9852"/>
        </w:tabs>
        <w:spacing w:after="0" w:line="480" w:lineRule="auto"/>
        <w:rPr>
          <w:rFonts w:ascii="Calibri" w:eastAsia="Calibri" w:hAnsi="Calibri" w:cs="Times New Roman"/>
          <w:b/>
        </w:rPr>
      </w:pPr>
      <w:r w:rsidRPr="00C92999">
        <w:rPr>
          <w:rFonts w:ascii="Calibri" w:eastAsia="Calibri" w:hAnsi="Calibri" w:cs="Times New Roman"/>
          <w:b/>
        </w:rPr>
        <w:t>Supplementary Table 1. Summary of on-treatment severe exacerbations</w:t>
      </w:r>
    </w:p>
    <w:tbl>
      <w:tblPr>
        <w:tblW w:w="4976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8"/>
        <w:gridCol w:w="1512"/>
        <w:gridCol w:w="1511"/>
        <w:gridCol w:w="1514"/>
        <w:gridCol w:w="8"/>
        <w:gridCol w:w="1503"/>
        <w:gridCol w:w="1511"/>
        <w:gridCol w:w="1514"/>
      </w:tblGrid>
      <w:tr w:rsidR="00A772F4" w:rsidRPr="00C92999" w14:paraId="4E95AA46" w14:textId="77777777" w:rsidTr="008B7A7E">
        <w:trPr>
          <w:trHeight w:val="436"/>
          <w:tblHeader/>
        </w:trPr>
        <w:tc>
          <w:tcPr>
            <w:tcW w:w="1734" w:type="pct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F03EA3C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4"/>
            <w:tcBorders>
              <w:top w:val="single" w:sz="4" w:space="0" w:color="auto"/>
            </w:tcBorders>
            <w:shd w:val="clear" w:color="auto" w:fill="auto"/>
          </w:tcPr>
          <w:p w14:paraId="743DB93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China</w:t>
            </w:r>
          </w:p>
        </w:tc>
        <w:tc>
          <w:tcPr>
            <w:tcW w:w="1630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7EF66BE2" w14:textId="77777777" w:rsidR="00A772F4" w:rsidRPr="00C92999" w:rsidRDefault="00A772F4" w:rsidP="008B7A7E">
            <w:pPr>
              <w:tabs>
                <w:tab w:val="left" w:pos="1116"/>
                <w:tab w:val="center" w:pos="1664"/>
              </w:tabs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Overall ITT</w:t>
            </w:r>
          </w:p>
        </w:tc>
      </w:tr>
      <w:tr w:rsidR="00A772F4" w:rsidRPr="00C92999" w14:paraId="35B564D5" w14:textId="77777777" w:rsidTr="008B7A7E">
        <w:trPr>
          <w:trHeight w:val="725"/>
          <w:tblHeader/>
        </w:trPr>
        <w:tc>
          <w:tcPr>
            <w:tcW w:w="1734" w:type="pct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B20BEE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6F8094C1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FF/UMEC/VI</w:t>
            </w:r>
          </w:p>
          <w:p w14:paraId="32D7B48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N=213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1834DDEF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FF/VI</w:t>
            </w:r>
          </w:p>
          <w:p w14:paraId="3F32D33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N=216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shd w:val="clear" w:color="auto" w:fill="auto"/>
          </w:tcPr>
          <w:p w14:paraId="1BDDEA6E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UMEC/VI</w:t>
            </w:r>
          </w:p>
          <w:p w14:paraId="2B7744B2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N=106</w:t>
            </w:r>
          </w:p>
        </w:tc>
        <w:tc>
          <w:tcPr>
            <w:tcW w:w="54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93262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FF/UMEC/VI</w:t>
            </w:r>
          </w:p>
          <w:p w14:paraId="3D2A5BB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N=4151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1D0D36E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FF/VI</w:t>
            </w:r>
          </w:p>
          <w:p w14:paraId="1EFFF0F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bCs/>
                <w:sz w:val="20"/>
                <w:szCs w:val="20"/>
              </w:rPr>
              <w:t>N=4134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shd w:val="clear" w:color="auto" w:fill="auto"/>
          </w:tcPr>
          <w:p w14:paraId="5BCC24A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UMEC/VI</w:t>
            </w:r>
          </w:p>
          <w:p w14:paraId="41A6C3E1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N=2070</w:t>
            </w:r>
          </w:p>
        </w:tc>
      </w:tr>
      <w:tr w:rsidR="00A772F4" w:rsidRPr="00C92999" w14:paraId="4AAD879C" w14:textId="77777777" w:rsidTr="008B7A7E">
        <w:trPr>
          <w:trHeight w:val="128"/>
        </w:trPr>
        <w:tc>
          <w:tcPr>
            <w:tcW w:w="1734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EA0DE8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Total duration at risk (patient-years)</w:t>
            </w:r>
          </w:p>
        </w:tc>
        <w:tc>
          <w:tcPr>
            <w:tcW w:w="544" w:type="pct"/>
            <w:tcBorders>
              <w:top w:val="single" w:sz="4" w:space="0" w:color="auto"/>
            </w:tcBorders>
            <w:shd w:val="clear" w:color="auto" w:fill="auto"/>
          </w:tcPr>
          <w:p w14:paraId="50243E8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198.8</w:t>
            </w:r>
          </w:p>
        </w:tc>
        <w:tc>
          <w:tcPr>
            <w:tcW w:w="544" w:type="pct"/>
            <w:tcBorders>
              <w:top w:val="single" w:sz="4" w:space="0" w:color="auto"/>
            </w:tcBorders>
            <w:shd w:val="clear" w:color="auto" w:fill="auto"/>
          </w:tcPr>
          <w:p w14:paraId="19803C5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194.5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</w:tcPr>
          <w:p w14:paraId="67982B1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98.2</w:t>
            </w:r>
          </w:p>
        </w:tc>
        <w:tc>
          <w:tcPr>
            <w:tcW w:w="544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53B964B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3714.9</w:t>
            </w:r>
          </w:p>
        </w:tc>
        <w:tc>
          <w:tcPr>
            <w:tcW w:w="544" w:type="pct"/>
            <w:tcBorders>
              <w:top w:val="single" w:sz="4" w:space="0" w:color="auto"/>
            </w:tcBorders>
            <w:shd w:val="clear" w:color="auto" w:fill="auto"/>
          </w:tcPr>
          <w:p w14:paraId="0A58F6F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3457.9</w:t>
            </w: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</w:tcPr>
          <w:p w14:paraId="1207A76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1698.3</w:t>
            </w:r>
          </w:p>
        </w:tc>
      </w:tr>
      <w:tr w:rsidR="00A772F4" w:rsidRPr="00C92999" w14:paraId="654C5E64" w14:textId="77777777" w:rsidTr="008B7A7E">
        <w:trPr>
          <w:trHeight w:val="78"/>
        </w:trPr>
        <w:tc>
          <w:tcPr>
            <w:tcW w:w="1734" w:type="pct"/>
            <w:shd w:val="clear" w:color="auto" w:fill="auto"/>
            <w:vAlign w:val="bottom"/>
          </w:tcPr>
          <w:p w14:paraId="7E38552B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Patients with severe exacerbation, n (%)</w:t>
            </w:r>
          </w:p>
        </w:tc>
        <w:tc>
          <w:tcPr>
            <w:tcW w:w="544" w:type="pct"/>
            <w:shd w:val="clear" w:color="auto" w:fill="auto"/>
          </w:tcPr>
          <w:p w14:paraId="5228493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38 (18)</w:t>
            </w:r>
          </w:p>
        </w:tc>
        <w:tc>
          <w:tcPr>
            <w:tcW w:w="544" w:type="pct"/>
            <w:shd w:val="clear" w:color="auto" w:fill="auto"/>
          </w:tcPr>
          <w:p w14:paraId="6E8E4AF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36 (17)</w:t>
            </w:r>
          </w:p>
        </w:tc>
        <w:tc>
          <w:tcPr>
            <w:tcW w:w="545" w:type="pct"/>
            <w:shd w:val="clear" w:color="auto" w:fill="auto"/>
          </w:tcPr>
          <w:p w14:paraId="63DE496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18 (17)</w:t>
            </w:r>
          </w:p>
        </w:tc>
        <w:tc>
          <w:tcPr>
            <w:tcW w:w="544" w:type="pct"/>
            <w:gridSpan w:val="2"/>
            <w:shd w:val="clear" w:color="auto" w:fill="auto"/>
          </w:tcPr>
          <w:p w14:paraId="61B301CE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447 (11)</w:t>
            </w:r>
          </w:p>
        </w:tc>
        <w:tc>
          <w:tcPr>
            <w:tcW w:w="544" w:type="pct"/>
            <w:shd w:val="clear" w:color="auto" w:fill="auto"/>
          </w:tcPr>
          <w:p w14:paraId="2B5932AC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461 (11)</w:t>
            </w:r>
          </w:p>
        </w:tc>
        <w:tc>
          <w:tcPr>
            <w:tcW w:w="545" w:type="pct"/>
            <w:shd w:val="clear" w:color="auto" w:fill="auto"/>
          </w:tcPr>
          <w:p w14:paraId="17F9CD79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272 (13)</w:t>
            </w:r>
          </w:p>
        </w:tc>
      </w:tr>
      <w:tr w:rsidR="00A772F4" w:rsidRPr="00C92999" w14:paraId="6E5E5D0F" w14:textId="77777777" w:rsidTr="008B7A7E">
        <w:trPr>
          <w:trHeight w:val="78"/>
        </w:trPr>
        <w:tc>
          <w:tcPr>
            <w:tcW w:w="1734" w:type="pct"/>
            <w:shd w:val="clear" w:color="auto" w:fill="auto"/>
            <w:vAlign w:val="bottom"/>
          </w:tcPr>
          <w:p w14:paraId="3DCE0E73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Rate* (number of exacerbations)</w:t>
            </w:r>
          </w:p>
        </w:tc>
        <w:tc>
          <w:tcPr>
            <w:tcW w:w="544" w:type="pct"/>
            <w:shd w:val="clear" w:color="auto" w:fill="auto"/>
          </w:tcPr>
          <w:p w14:paraId="250D2FBD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256</w:t>
            </w:r>
            <w:r w:rsidRPr="00C92999">
              <w:rPr>
                <w:sz w:val="20"/>
              </w:rPr>
              <w:t>.5</w:t>
            </w:r>
            <w:r w:rsidRPr="00C92999">
              <w:rPr>
                <w:rFonts w:eastAsia="Calibri" w:cs="Times New Roman"/>
                <w:sz w:val="20"/>
                <w:szCs w:val="20"/>
              </w:rPr>
              <w:t xml:space="preserve"> (51)</w:t>
            </w:r>
          </w:p>
        </w:tc>
        <w:tc>
          <w:tcPr>
            <w:tcW w:w="544" w:type="pct"/>
            <w:shd w:val="clear" w:color="auto" w:fill="auto"/>
          </w:tcPr>
          <w:p w14:paraId="05ED36F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221.1 (43)</w:t>
            </w:r>
          </w:p>
        </w:tc>
        <w:tc>
          <w:tcPr>
            <w:tcW w:w="545" w:type="pct"/>
            <w:shd w:val="clear" w:color="auto" w:fill="auto"/>
          </w:tcPr>
          <w:p w14:paraId="786231E9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sz w:val="20"/>
              </w:rPr>
              <w:t>244.5</w:t>
            </w:r>
            <w:r w:rsidRPr="00C92999">
              <w:rPr>
                <w:rFonts w:eastAsia="Calibri" w:cs="Times New Roman"/>
                <w:sz w:val="20"/>
                <w:szCs w:val="20"/>
              </w:rPr>
              <w:t xml:space="preserve"> (24)</w:t>
            </w:r>
          </w:p>
        </w:tc>
        <w:tc>
          <w:tcPr>
            <w:tcW w:w="544" w:type="pct"/>
            <w:gridSpan w:val="2"/>
            <w:shd w:val="clear" w:color="auto" w:fill="auto"/>
          </w:tcPr>
          <w:p w14:paraId="6A21C0D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150.7 (560)</w:t>
            </w:r>
          </w:p>
        </w:tc>
        <w:tc>
          <w:tcPr>
            <w:tcW w:w="544" w:type="pct"/>
            <w:shd w:val="clear" w:color="auto" w:fill="auto"/>
          </w:tcPr>
          <w:p w14:paraId="2BEFC21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168.3 (582)</w:t>
            </w:r>
          </w:p>
        </w:tc>
        <w:tc>
          <w:tcPr>
            <w:tcW w:w="545" w:type="pct"/>
            <w:shd w:val="clear" w:color="auto" w:fill="auto"/>
          </w:tcPr>
          <w:p w14:paraId="27F49E01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201.4 (342)</w:t>
            </w:r>
          </w:p>
        </w:tc>
      </w:tr>
      <w:tr w:rsidR="00A772F4" w:rsidRPr="00C92999" w14:paraId="66A4B90A" w14:textId="77777777" w:rsidTr="008B7A7E">
        <w:trPr>
          <w:trHeight w:val="78"/>
        </w:trPr>
        <w:tc>
          <w:tcPr>
            <w:tcW w:w="5000" w:type="pct"/>
            <w:gridSpan w:val="8"/>
            <w:shd w:val="clear" w:color="auto" w:fill="auto"/>
            <w:vAlign w:val="bottom"/>
          </w:tcPr>
          <w:p w14:paraId="3524FA57" w14:textId="77777777" w:rsidR="00A772F4" w:rsidRPr="00C92999" w:rsidRDefault="00A772F4" w:rsidP="008B7A7E">
            <w:pPr>
              <w:spacing w:after="0" w:line="276" w:lineRule="auto"/>
              <w:rPr>
                <w:sz w:val="20"/>
              </w:rPr>
            </w:pPr>
            <w:r w:rsidRPr="00C92999">
              <w:rPr>
                <w:b/>
                <w:sz w:val="20"/>
              </w:rPr>
              <w:t>Total number of severe exacerbations per patient, n (%)</w:t>
            </w:r>
          </w:p>
        </w:tc>
      </w:tr>
      <w:tr w:rsidR="00A772F4" w:rsidRPr="00C92999" w14:paraId="68C6276A" w14:textId="77777777" w:rsidTr="008B7A7E">
        <w:trPr>
          <w:trHeight w:val="78"/>
        </w:trPr>
        <w:tc>
          <w:tcPr>
            <w:tcW w:w="1734" w:type="pct"/>
            <w:shd w:val="clear" w:color="auto" w:fill="auto"/>
            <w:vAlign w:val="bottom"/>
          </w:tcPr>
          <w:p w14:paraId="585BA1E1" w14:textId="77777777" w:rsidR="00A772F4" w:rsidRPr="00C92999" w:rsidRDefault="00A772F4" w:rsidP="008B7A7E">
            <w:pPr>
              <w:spacing w:after="0" w:line="276" w:lineRule="auto"/>
              <w:rPr>
                <w:bCs/>
                <w:sz w:val="20"/>
              </w:rPr>
            </w:pPr>
            <w:r w:rsidRPr="00C92999">
              <w:rPr>
                <w:bCs/>
                <w:sz w:val="20"/>
              </w:rPr>
              <w:t xml:space="preserve">    0</w:t>
            </w:r>
          </w:p>
        </w:tc>
        <w:tc>
          <w:tcPr>
            <w:tcW w:w="544" w:type="pct"/>
            <w:shd w:val="clear" w:color="auto" w:fill="auto"/>
          </w:tcPr>
          <w:p w14:paraId="4E5E0822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175 (82)</w:t>
            </w:r>
          </w:p>
        </w:tc>
        <w:tc>
          <w:tcPr>
            <w:tcW w:w="544" w:type="pct"/>
            <w:shd w:val="clear" w:color="auto" w:fill="auto"/>
          </w:tcPr>
          <w:p w14:paraId="086AE090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180 (83)</w:t>
            </w:r>
          </w:p>
        </w:tc>
        <w:tc>
          <w:tcPr>
            <w:tcW w:w="544" w:type="pct"/>
            <w:shd w:val="clear" w:color="auto" w:fill="auto"/>
          </w:tcPr>
          <w:p w14:paraId="0735B07C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88 (83)</w:t>
            </w:r>
          </w:p>
        </w:tc>
        <w:tc>
          <w:tcPr>
            <w:tcW w:w="544" w:type="pct"/>
            <w:gridSpan w:val="2"/>
            <w:shd w:val="clear" w:color="auto" w:fill="auto"/>
          </w:tcPr>
          <w:p w14:paraId="31C0330E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3704 (89)</w:t>
            </w:r>
          </w:p>
        </w:tc>
        <w:tc>
          <w:tcPr>
            <w:tcW w:w="544" w:type="pct"/>
            <w:shd w:val="clear" w:color="auto" w:fill="auto"/>
          </w:tcPr>
          <w:p w14:paraId="357367CB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3673 (89)</w:t>
            </w:r>
          </w:p>
        </w:tc>
        <w:tc>
          <w:tcPr>
            <w:tcW w:w="545" w:type="pct"/>
            <w:shd w:val="clear" w:color="auto" w:fill="auto"/>
          </w:tcPr>
          <w:p w14:paraId="2761AA11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1798 (87)</w:t>
            </w:r>
          </w:p>
        </w:tc>
      </w:tr>
      <w:tr w:rsidR="00A772F4" w:rsidRPr="00C92999" w14:paraId="26EA208F" w14:textId="77777777" w:rsidTr="008B7A7E">
        <w:trPr>
          <w:trHeight w:val="78"/>
        </w:trPr>
        <w:tc>
          <w:tcPr>
            <w:tcW w:w="1734" w:type="pct"/>
            <w:shd w:val="clear" w:color="auto" w:fill="auto"/>
            <w:vAlign w:val="bottom"/>
          </w:tcPr>
          <w:p w14:paraId="14E2F42A" w14:textId="77777777" w:rsidR="00A772F4" w:rsidRPr="00C92999" w:rsidRDefault="00A772F4" w:rsidP="008B7A7E">
            <w:pPr>
              <w:spacing w:after="0" w:line="276" w:lineRule="auto"/>
              <w:rPr>
                <w:bCs/>
                <w:sz w:val="20"/>
              </w:rPr>
            </w:pPr>
            <w:r w:rsidRPr="00C92999">
              <w:rPr>
                <w:bCs/>
                <w:sz w:val="20"/>
              </w:rPr>
              <w:t xml:space="preserve">    1</w:t>
            </w:r>
          </w:p>
        </w:tc>
        <w:tc>
          <w:tcPr>
            <w:tcW w:w="544" w:type="pct"/>
            <w:shd w:val="clear" w:color="auto" w:fill="auto"/>
          </w:tcPr>
          <w:p w14:paraId="61BD9CE3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28 (13)</w:t>
            </w:r>
          </w:p>
        </w:tc>
        <w:tc>
          <w:tcPr>
            <w:tcW w:w="544" w:type="pct"/>
            <w:shd w:val="clear" w:color="auto" w:fill="auto"/>
          </w:tcPr>
          <w:p w14:paraId="4238A20E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30 (14)</w:t>
            </w:r>
          </w:p>
        </w:tc>
        <w:tc>
          <w:tcPr>
            <w:tcW w:w="544" w:type="pct"/>
            <w:shd w:val="clear" w:color="auto" w:fill="auto"/>
          </w:tcPr>
          <w:p w14:paraId="11ADDB04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13 (12)</w:t>
            </w:r>
          </w:p>
        </w:tc>
        <w:tc>
          <w:tcPr>
            <w:tcW w:w="544" w:type="pct"/>
            <w:gridSpan w:val="2"/>
            <w:shd w:val="clear" w:color="auto" w:fill="auto"/>
          </w:tcPr>
          <w:p w14:paraId="55B7D975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361 (9)</w:t>
            </w:r>
          </w:p>
        </w:tc>
        <w:tc>
          <w:tcPr>
            <w:tcW w:w="544" w:type="pct"/>
            <w:shd w:val="clear" w:color="auto" w:fill="auto"/>
          </w:tcPr>
          <w:p w14:paraId="091E2F67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373 (9)</w:t>
            </w:r>
          </w:p>
        </w:tc>
        <w:tc>
          <w:tcPr>
            <w:tcW w:w="545" w:type="pct"/>
            <w:shd w:val="clear" w:color="auto" w:fill="auto"/>
          </w:tcPr>
          <w:p w14:paraId="660D4A59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221 (11)</w:t>
            </w:r>
          </w:p>
        </w:tc>
      </w:tr>
      <w:tr w:rsidR="00A772F4" w:rsidRPr="00C92999" w14:paraId="19F3EE43" w14:textId="77777777" w:rsidTr="008B7A7E">
        <w:trPr>
          <w:trHeight w:val="78"/>
        </w:trPr>
        <w:tc>
          <w:tcPr>
            <w:tcW w:w="1734" w:type="pct"/>
            <w:shd w:val="clear" w:color="auto" w:fill="auto"/>
            <w:vAlign w:val="bottom"/>
          </w:tcPr>
          <w:p w14:paraId="7EEFDAD2" w14:textId="77777777" w:rsidR="00A772F4" w:rsidRPr="00C92999" w:rsidRDefault="00A772F4" w:rsidP="008B7A7E">
            <w:pPr>
              <w:spacing w:after="0" w:line="276" w:lineRule="auto"/>
              <w:rPr>
                <w:bCs/>
                <w:sz w:val="20"/>
              </w:rPr>
            </w:pPr>
            <w:r w:rsidRPr="00C92999">
              <w:rPr>
                <w:bCs/>
                <w:sz w:val="20"/>
              </w:rPr>
              <w:t xml:space="preserve">    2</w:t>
            </w:r>
          </w:p>
        </w:tc>
        <w:tc>
          <w:tcPr>
            <w:tcW w:w="544" w:type="pct"/>
            <w:shd w:val="clear" w:color="auto" w:fill="auto"/>
          </w:tcPr>
          <w:p w14:paraId="52AAB86D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8 (4)</w:t>
            </w:r>
          </w:p>
        </w:tc>
        <w:tc>
          <w:tcPr>
            <w:tcW w:w="544" w:type="pct"/>
            <w:shd w:val="clear" w:color="auto" w:fill="auto"/>
          </w:tcPr>
          <w:p w14:paraId="7A721D76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5 (2)</w:t>
            </w:r>
          </w:p>
        </w:tc>
        <w:tc>
          <w:tcPr>
            <w:tcW w:w="544" w:type="pct"/>
            <w:shd w:val="clear" w:color="auto" w:fill="auto"/>
          </w:tcPr>
          <w:p w14:paraId="06E13F57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4 (4)</w:t>
            </w:r>
          </w:p>
        </w:tc>
        <w:tc>
          <w:tcPr>
            <w:tcW w:w="544" w:type="pct"/>
            <w:gridSpan w:val="2"/>
            <w:shd w:val="clear" w:color="auto" w:fill="auto"/>
          </w:tcPr>
          <w:p w14:paraId="0A47AFAB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67 (2)</w:t>
            </w:r>
          </w:p>
        </w:tc>
        <w:tc>
          <w:tcPr>
            <w:tcW w:w="544" w:type="pct"/>
            <w:shd w:val="clear" w:color="auto" w:fill="auto"/>
          </w:tcPr>
          <w:p w14:paraId="7B2AFC66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64 (2)</w:t>
            </w:r>
          </w:p>
        </w:tc>
        <w:tc>
          <w:tcPr>
            <w:tcW w:w="545" w:type="pct"/>
            <w:shd w:val="clear" w:color="auto" w:fill="auto"/>
          </w:tcPr>
          <w:p w14:paraId="3B21C79F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35 (2)</w:t>
            </w:r>
          </w:p>
        </w:tc>
      </w:tr>
      <w:tr w:rsidR="00A772F4" w:rsidRPr="00C92999" w14:paraId="0BB22D54" w14:textId="77777777" w:rsidTr="008B7A7E">
        <w:trPr>
          <w:trHeight w:val="78"/>
        </w:trPr>
        <w:tc>
          <w:tcPr>
            <w:tcW w:w="1734" w:type="pct"/>
            <w:shd w:val="clear" w:color="auto" w:fill="auto"/>
            <w:vAlign w:val="bottom"/>
          </w:tcPr>
          <w:p w14:paraId="3E084F77" w14:textId="77777777" w:rsidR="00A772F4" w:rsidRPr="00C92999" w:rsidRDefault="00A772F4" w:rsidP="008B7A7E">
            <w:pPr>
              <w:spacing w:after="0" w:line="276" w:lineRule="auto"/>
              <w:rPr>
                <w:bCs/>
                <w:sz w:val="20"/>
              </w:rPr>
            </w:pPr>
            <w:r w:rsidRPr="00C92999">
              <w:rPr>
                <w:bCs/>
                <w:sz w:val="20"/>
              </w:rPr>
              <w:t xml:space="preserve">    ≥3</w:t>
            </w:r>
          </w:p>
        </w:tc>
        <w:tc>
          <w:tcPr>
            <w:tcW w:w="544" w:type="pct"/>
            <w:shd w:val="clear" w:color="auto" w:fill="auto"/>
          </w:tcPr>
          <w:p w14:paraId="5FDD5AE0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2 (&lt;1)</w:t>
            </w:r>
          </w:p>
        </w:tc>
        <w:tc>
          <w:tcPr>
            <w:tcW w:w="544" w:type="pct"/>
            <w:shd w:val="clear" w:color="auto" w:fill="auto"/>
          </w:tcPr>
          <w:p w14:paraId="49F42AA0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 (&lt;1)</w:t>
            </w:r>
          </w:p>
        </w:tc>
        <w:tc>
          <w:tcPr>
            <w:tcW w:w="544" w:type="pct"/>
            <w:shd w:val="clear" w:color="auto" w:fill="auto"/>
          </w:tcPr>
          <w:p w14:paraId="37142181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 (&lt;1)</w:t>
            </w:r>
          </w:p>
        </w:tc>
        <w:tc>
          <w:tcPr>
            <w:tcW w:w="544" w:type="pct"/>
            <w:gridSpan w:val="2"/>
            <w:shd w:val="clear" w:color="auto" w:fill="auto"/>
          </w:tcPr>
          <w:p w14:paraId="1A56227D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19 (&lt;1)</w:t>
            </w:r>
          </w:p>
        </w:tc>
        <w:tc>
          <w:tcPr>
            <w:tcW w:w="544" w:type="pct"/>
            <w:shd w:val="clear" w:color="auto" w:fill="auto"/>
          </w:tcPr>
          <w:p w14:paraId="7575D9F7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24 (&lt;1)</w:t>
            </w:r>
          </w:p>
        </w:tc>
        <w:tc>
          <w:tcPr>
            <w:tcW w:w="545" w:type="pct"/>
            <w:shd w:val="clear" w:color="auto" w:fill="auto"/>
          </w:tcPr>
          <w:p w14:paraId="4537E0A7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16 (&lt;1)</w:t>
            </w:r>
          </w:p>
        </w:tc>
      </w:tr>
      <w:tr w:rsidR="00A772F4" w:rsidRPr="00C92999" w14:paraId="7263682F" w14:textId="77777777" w:rsidTr="008B7A7E">
        <w:trPr>
          <w:trHeight w:val="78"/>
        </w:trPr>
        <w:tc>
          <w:tcPr>
            <w:tcW w:w="173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D81AE01" w14:textId="77777777" w:rsidR="00A772F4" w:rsidRPr="00C92999" w:rsidRDefault="00A772F4" w:rsidP="008B7A7E">
            <w:pPr>
              <w:spacing w:after="0" w:line="276" w:lineRule="auto"/>
              <w:rPr>
                <w:b/>
                <w:sz w:val="20"/>
              </w:rPr>
            </w:pPr>
            <w:r w:rsidRPr="00C92999">
              <w:rPr>
                <w:b/>
                <w:sz w:val="20"/>
              </w:rPr>
              <w:t>Patients with ≥2 severe exacerbations, n (%)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02FD48F0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10 (5)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49E3DA3B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6 (3)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4537E85F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5 (5)</w:t>
            </w:r>
          </w:p>
        </w:tc>
        <w:tc>
          <w:tcPr>
            <w:tcW w:w="54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CDA5450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86 (2)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2EE145B3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88 (2)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shd w:val="clear" w:color="auto" w:fill="auto"/>
          </w:tcPr>
          <w:p w14:paraId="133BA631" w14:textId="77777777" w:rsidR="00A772F4" w:rsidRPr="00C92999" w:rsidRDefault="00A772F4" w:rsidP="008B7A7E">
            <w:pPr>
              <w:spacing w:after="0" w:line="276" w:lineRule="auto"/>
              <w:jc w:val="center"/>
              <w:rPr>
                <w:sz w:val="20"/>
              </w:rPr>
            </w:pPr>
            <w:r w:rsidRPr="00C92999">
              <w:rPr>
                <w:sz w:val="20"/>
              </w:rPr>
              <w:t>51 (2)</w:t>
            </w:r>
          </w:p>
        </w:tc>
      </w:tr>
    </w:tbl>
    <w:p w14:paraId="6AA0D0BA" w14:textId="77777777" w:rsidR="00A772F4" w:rsidRPr="00C92999" w:rsidRDefault="00A772F4" w:rsidP="00A772F4">
      <w:pPr>
        <w:spacing w:after="0" w:line="240" w:lineRule="auto"/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>*</w:t>
      </w:r>
      <w:r w:rsidRPr="00C92999">
        <w:t>Rate was event rate per 1000 patient-years, calculated as the number of events x 1000, divided by the total duration at risk.</w:t>
      </w:r>
    </w:p>
    <w:p w14:paraId="367460F0" w14:textId="77777777" w:rsidR="00A772F4" w:rsidRPr="00C92999" w:rsidRDefault="00A772F4" w:rsidP="00A772F4">
      <w:pPr>
        <w:spacing w:after="0" w:line="480" w:lineRule="auto"/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>FF, fluticasone furoate; ITT, intent-to-treat; UMEC, umeclidinium; VI, vilanterol.</w:t>
      </w:r>
    </w:p>
    <w:p w14:paraId="29B7AA36" w14:textId="77777777" w:rsidR="00A772F4" w:rsidRPr="00C92999" w:rsidRDefault="00A772F4" w:rsidP="00A772F4">
      <w:r w:rsidRPr="00C92999">
        <w:br w:type="page"/>
      </w:r>
    </w:p>
    <w:p w14:paraId="060996FD" w14:textId="77777777" w:rsidR="00A772F4" w:rsidRPr="00C92999" w:rsidRDefault="00A772F4" w:rsidP="00A772F4">
      <w:pPr>
        <w:spacing w:after="0" w:line="480" w:lineRule="auto"/>
        <w:rPr>
          <w:rFonts w:ascii="Calibri" w:eastAsia="Calibri" w:hAnsi="Calibri" w:cs="Times New Roman"/>
          <w:b/>
        </w:rPr>
        <w:sectPr w:rsidR="00A772F4" w:rsidRPr="00C92999" w:rsidSect="006E3CD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8F21252" w14:textId="77777777" w:rsidR="00A772F4" w:rsidRPr="00C92999" w:rsidRDefault="00A772F4" w:rsidP="00A772F4">
      <w:pPr>
        <w:spacing w:after="0" w:line="480" w:lineRule="auto"/>
        <w:rPr>
          <w:rFonts w:ascii="Calibri" w:eastAsia="Calibri" w:hAnsi="Calibri" w:cs="Times New Roman"/>
          <w:b/>
        </w:rPr>
      </w:pPr>
      <w:r w:rsidRPr="00C92999">
        <w:rPr>
          <w:rFonts w:ascii="Calibri" w:eastAsia="Calibri" w:hAnsi="Calibri" w:cs="Times New Roman"/>
          <w:b/>
        </w:rPr>
        <w:lastRenderedPageBreak/>
        <w:t>Supplementary Table 2. Summary of on-treatment COPD exacerbations (mild/moderate/severe, moderate only, and type of treatment required)</w:t>
      </w:r>
    </w:p>
    <w:tbl>
      <w:tblPr>
        <w:tblW w:w="5346" w:type="pct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6"/>
        <w:gridCol w:w="2106"/>
        <w:gridCol w:w="1845"/>
        <w:gridCol w:w="1848"/>
        <w:gridCol w:w="1848"/>
        <w:gridCol w:w="1845"/>
        <w:gridCol w:w="1836"/>
      </w:tblGrid>
      <w:tr w:rsidR="00A772F4" w:rsidRPr="00C92999" w14:paraId="4ADBB3E0" w14:textId="77777777" w:rsidTr="008B7A7E">
        <w:trPr>
          <w:trHeight w:val="383"/>
        </w:trPr>
        <w:tc>
          <w:tcPr>
            <w:tcW w:w="1205" w:type="pct"/>
            <w:tcBorders>
              <w:top w:val="single" w:sz="4" w:space="0" w:color="auto"/>
            </w:tcBorders>
            <w:shd w:val="clear" w:color="auto" w:fill="auto"/>
          </w:tcPr>
          <w:p w14:paraId="39B5A649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08B917D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China</w:t>
            </w:r>
          </w:p>
        </w:tc>
        <w:tc>
          <w:tcPr>
            <w:tcW w:w="1852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3FD4340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Overall ITT</w:t>
            </w:r>
          </w:p>
        </w:tc>
      </w:tr>
      <w:tr w:rsidR="00A772F4" w:rsidRPr="00C92999" w14:paraId="7D87FE4E" w14:textId="77777777" w:rsidTr="008B7A7E">
        <w:trPr>
          <w:trHeight w:val="78"/>
        </w:trPr>
        <w:tc>
          <w:tcPr>
            <w:tcW w:w="1205" w:type="pct"/>
            <w:tcBorders>
              <w:bottom w:val="single" w:sz="4" w:space="0" w:color="auto"/>
            </w:tcBorders>
            <w:shd w:val="clear" w:color="auto" w:fill="auto"/>
          </w:tcPr>
          <w:p w14:paraId="699063FA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706" w:type="pct"/>
            <w:tcBorders>
              <w:bottom w:val="single" w:sz="4" w:space="0" w:color="auto"/>
            </w:tcBorders>
            <w:shd w:val="clear" w:color="auto" w:fill="auto"/>
          </w:tcPr>
          <w:p w14:paraId="63585239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FF/UMEC/VI</w:t>
            </w:r>
          </w:p>
          <w:p w14:paraId="4E573DD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N=213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</w:tcPr>
          <w:p w14:paraId="03EBE82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FF/VI</w:t>
            </w:r>
          </w:p>
          <w:p w14:paraId="0C35D67F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N=216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auto" w:fill="auto"/>
          </w:tcPr>
          <w:p w14:paraId="08726DB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UMEC/VI</w:t>
            </w:r>
          </w:p>
          <w:p w14:paraId="28E7424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N=106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auto" w:fill="auto"/>
          </w:tcPr>
          <w:p w14:paraId="4AE62D8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FF/UMEC/VI</w:t>
            </w:r>
          </w:p>
          <w:p w14:paraId="7B6D736C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N=4151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</w:tcPr>
          <w:p w14:paraId="30F1FF3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FF/VI</w:t>
            </w:r>
          </w:p>
          <w:p w14:paraId="4ED8493A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N=4134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shd w:val="clear" w:color="auto" w:fill="auto"/>
          </w:tcPr>
          <w:p w14:paraId="5A7E200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UMEC/VI</w:t>
            </w:r>
          </w:p>
          <w:p w14:paraId="339F338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N=2070</w:t>
            </w:r>
          </w:p>
        </w:tc>
      </w:tr>
      <w:tr w:rsidR="00A772F4" w:rsidRPr="00C92999" w14:paraId="0F4ADB8C" w14:textId="77777777" w:rsidTr="008B7A7E">
        <w:trPr>
          <w:trHeight w:val="323"/>
        </w:trPr>
        <w:tc>
          <w:tcPr>
            <w:tcW w:w="12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33EEBE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Total duration at risk (patient-years)</w:t>
            </w:r>
          </w:p>
        </w:tc>
        <w:tc>
          <w:tcPr>
            <w:tcW w:w="7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5AEB5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198.8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02DC7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194.5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D0B11A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98.2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26ED4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3714.9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6913B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3457.9</w:t>
            </w:r>
          </w:p>
        </w:tc>
        <w:tc>
          <w:tcPr>
            <w:tcW w:w="61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26D87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1698.3</w:t>
            </w:r>
          </w:p>
        </w:tc>
      </w:tr>
      <w:tr w:rsidR="00A772F4" w:rsidRPr="00C92999" w14:paraId="4ABEB288" w14:textId="77777777" w:rsidTr="008B7A7E">
        <w:trPr>
          <w:trHeight w:val="95"/>
        </w:trPr>
        <w:tc>
          <w:tcPr>
            <w:tcW w:w="1205" w:type="pct"/>
            <w:shd w:val="clear" w:color="auto" w:fill="auto"/>
          </w:tcPr>
          <w:p w14:paraId="45D53192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Mild/moderate/severe COPD exacerbation</w:t>
            </w:r>
          </w:p>
        </w:tc>
        <w:tc>
          <w:tcPr>
            <w:tcW w:w="706" w:type="pct"/>
            <w:shd w:val="clear" w:color="auto" w:fill="auto"/>
          </w:tcPr>
          <w:p w14:paraId="1EDB923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</w:tcPr>
          <w:p w14:paraId="6885429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9" w:type="pct"/>
            <w:shd w:val="clear" w:color="auto" w:fill="auto"/>
          </w:tcPr>
          <w:p w14:paraId="5B576E72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9" w:type="pct"/>
            <w:shd w:val="clear" w:color="auto" w:fill="auto"/>
          </w:tcPr>
          <w:p w14:paraId="4434E6FA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</w:tcPr>
          <w:p w14:paraId="3C8DDD5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</w:tcPr>
          <w:p w14:paraId="29700D6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A772F4" w:rsidRPr="00C92999" w14:paraId="1EE9C70B" w14:textId="77777777" w:rsidTr="008B7A7E">
        <w:trPr>
          <w:trHeight w:val="95"/>
        </w:trPr>
        <w:tc>
          <w:tcPr>
            <w:tcW w:w="1205" w:type="pct"/>
            <w:shd w:val="clear" w:color="auto" w:fill="auto"/>
          </w:tcPr>
          <w:p w14:paraId="10D3F941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n (%)</w:t>
            </w:r>
          </w:p>
        </w:tc>
        <w:tc>
          <w:tcPr>
            <w:tcW w:w="706" w:type="pct"/>
            <w:shd w:val="clear" w:color="auto" w:fill="auto"/>
          </w:tcPr>
          <w:p w14:paraId="2F0DF10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104 (49)</w:t>
            </w:r>
          </w:p>
        </w:tc>
        <w:tc>
          <w:tcPr>
            <w:tcW w:w="618" w:type="pct"/>
            <w:shd w:val="clear" w:color="auto" w:fill="auto"/>
          </w:tcPr>
          <w:p w14:paraId="44E47F2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117 (54)</w:t>
            </w:r>
          </w:p>
        </w:tc>
        <w:tc>
          <w:tcPr>
            <w:tcW w:w="619" w:type="pct"/>
            <w:shd w:val="clear" w:color="auto" w:fill="auto"/>
          </w:tcPr>
          <w:p w14:paraId="0CEE93F9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51 (48)</w:t>
            </w:r>
          </w:p>
        </w:tc>
        <w:tc>
          <w:tcPr>
            <w:tcW w:w="619" w:type="pct"/>
            <w:shd w:val="clear" w:color="auto" w:fill="auto"/>
          </w:tcPr>
          <w:p w14:paraId="37AF6FA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2076 (50)</w:t>
            </w:r>
          </w:p>
        </w:tc>
        <w:tc>
          <w:tcPr>
            <w:tcW w:w="618" w:type="pct"/>
            <w:shd w:val="clear" w:color="auto" w:fill="auto"/>
          </w:tcPr>
          <w:p w14:paraId="605B3C59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2164 (52)</w:t>
            </w:r>
          </w:p>
        </w:tc>
        <w:tc>
          <w:tcPr>
            <w:tcW w:w="615" w:type="pct"/>
            <w:shd w:val="clear" w:color="auto" w:fill="auto"/>
          </w:tcPr>
          <w:p w14:paraId="272704A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1093 (53)</w:t>
            </w:r>
          </w:p>
        </w:tc>
      </w:tr>
      <w:tr w:rsidR="00A772F4" w:rsidRPr="00C92999" w14:paraId="0C172816" w14:textId="77777777" w:rsidTr="008B7A7E">
        <w:trPr>
          <w:trHeight w:val="78"/>
        </w:trPr>
        <w:tc>
          <w:tcPr>
            <w:tcW w:w="1205" w:type="pct"/>
            <w:shd w:val="clear" w:color="auto" w:fill="auto"/>
          </w:tcPr>
          <w:p w14:paraId="0985C512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Rate (number of exacerbations)</w:t>
            </w:r>
          </w:p>
        </w:tc>
        <w:tc>
          <w:tcPr>
            <w:tcW w:w="706" w:type="pct"/>
            <w:shd w:val="clear" w:color="auto" w:fill="auto"/>
          </w:tcPr>
          <w:p w14:paraId="6BE5EF5F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970.7 (193)</w:t>
            </w:r>
          </w:p>
        </w:tc>
        <w:tc>
          <w:tcPr>
            <w:tcW w:w="618" w:type="pct"/>
            <w:shd w:val="clear" w:color="auto" w:fill="auto"/>
          </w:tcPr>
          <w:p w14:paraId="6F1CF35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1203.3 (234)</w:t>
            </w:r>
          </w:p>
        </w:tc>
        <w:tc>
          <w:tcPr>
            <w:tcW w:w="619" w:type="pct"/>
            <w:shd w:val="clear" w:color="auto" w:fill="auto"/>
          </w:tcPr>
          <w:p w14:paraId="44AF422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1110.3 (109)</w:t>
            </w:r>
          </w:p>
        </w:tc>
        <w:tc>
          <w:tcPr>
            <w:tcW w:w="619" w:type="pct"/>
            <w:shd w:val="clear" w:color="auto" w:fill="auto"/>
          </w:tcPr>
          <w:p w14:paraId="128A3A1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1054.1 (3916)</w:t>
            </w:r>
          </w:p>
        </w:tc>
        <w:tc>
          <w:tcPr>
            <w:tcW w:w="618" w:type="pct"/>
            <w:shd w:val="clear" w:color="auto" w:fill="auto"/>
          </w:tcPr>
          <w:p w14:paraId="5BE2A532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1212.9 (4194)</w:t>
            </w:r>
          </w:p>
        </w:tc>
        <w:tc>
          <w:tcPr>
            <w:tcW w:w="615" w:type="pct"/>
            <w:shd w:val="clear" w:color="auto" w:fill="auto"/>
          </w:tcPr>
          <w:p w14:paraId="20E8552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1308.4 (2222)</w:t>
            </w:r>
          </w:p>
        </w:tc>
      </w:tr>
      <w:tr w:rsidR="00A772F4" w:rsidRPr="00C92999" w14:paraId="09917D12" w14:textId="77777777" w:rsidTr="008B7A7E">
        <w:trPr>
          <w:trHeight w:val="78"/>
        </w:trPr>
        <w:tc>
          <w:tcPr>
            <w:tcW w:w="1205" w:type="pct"/>
            <w:shd w:val="clear" w:color="auto" w:fill="auto"/>
          </w:tcPr>
          <w:p w14:paraId="6F699DF2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b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Moderate COPD exacerbation</w:t>
            </w:r>
          </w:p>
        </w:tc>
        <w:tc>
          <w:tcPr>
            <w:tcW w:w="706" w:type="pct"/>
            <w:shd w:val="clear" w:color="auto" w:fill="auto"/>
          </w:tcPr>
          <w:p w14:paraId="41DD317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</w:tcPr>
          <w:p w14:paraId="5DBF9971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9" w:type="pct"/>
            <w:shd w:val="clear" w:color="auto" w:fill="auto"/>
          </w:tcPr>
          <w:p w14:paraId="1A6E5D8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9" w:type="pct"/>
            <w:shd w:val="clear" w:color="auto" w:fill="auto"/>
          </w:tcPr>
          <w:p w14:paraId="1706662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</w:tcPr>
          <w:p w14:paraId="6B89876F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</w:tcPr>
          <w:p w14:paraId="161DA00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A772F4" w:rsidRPr="00C92999" w14:paraId="010F2B9A" w14:textId="77777777" w:rsidTr="008B7A7E">
        <w:trPr>
          <w:trHeight w:val="78"/>
        </w:trPr>
        <w:tc>
          <w:tcPr>
            <w:tcW w:w="1205" w:type="pct"/>
            <w:shd w:val="clear" w:color="auto" w:fill="auto"/>
          </w:tcPr>
          <w:p w14:paraId="2D77E26C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n (%)</w:t>
            </w:r>
          </w:p>
        </w:tc>
        <w:tc>
          <w:tcPr>
            <w:tcW w:w="706" w:type="pct"/>
            <w:shd w:val="clear" w:color="auto" w:fill="auto"/>
          </w:tcPr>
          <w:p w14:paraId="6B361CA1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67 (31)</w:t>
            </w:r>
          </w:p>
        </w:tc>
        <w:tc>
          <w:tcPr>
            <w:tcW w:w="618" w:type="pct"/>
            <w:shd w:val="clear" w:color="auto" w:fill="auto"/>
          </w:tcPr>
          <w:p w14:paraId="15F52CB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83 (38)</w:t>
            </w:r>
          </w:p>
        </w:tc>
        <w:tc>
          <w:tcPr>
            <w:tcW w:w="619" w:type="pct"/>
            <w:shd w:val="clear" w:color="auto" w:fill="auto"/>
          </w:tcPr>
          <w:p w14:paraId="79C08B31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37 (35)</w:t>
            </w:r>
          </w:p>
        </w:tc>
        <w:tc>
          <w:tcPr>
            <w:tcW w:w="619" w:type="pct"/>
            <w:shd w:val="clear" w:color="auto" w:fill="auto"/>
          </w:tcPr>
          <w:p w14:paraId="6AA8D18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1719 (41)</w:t>
            </w:r>
          </w:p>
        </w:tc>
        <w:tc>
          <w:tcPr>
            <w:tcW w:w="618" w:type="pct"/>
            <w:shd w:val="clear" w:color="auto" w:fill="auto"/>
          </w:tcPr>
          <w:p w14:paraId="697B3CA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1795 (43)</w:t>
            </w:r>
          </w:p>
        </w:tc>
        <w:tc>
          <w:tcPr>
            <w:tcW w:w="615" w:type="pct"/>
            <w:shd w:val="clear" w:color="auto" w:fill="auto"/>
          </w:tcPr>
          <w:p w14:paraId="37D1A762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887 (43)</w:t>
            </w:r>
          </w:p>
        </w:tc>
      </w:tr>
      <w:tr w:rsidR="00A772F4" w:rsidRPr="00C92999" w14:paraId="4FB591EC" w14:textId="77777777" w:rsidTr="008B7A7E">
        <w:trPr>
          <w:trHeight w:val="78"/>
        </w:trPr>
        <w:tc>
          <w:tcPr>
            <w:tcW w:w="1205" w:type="pct"/>
            <w:shd w:val="clear" w:color="auto" w:fill="auto"/>
          </w:tcPr>
          <w:p w14:paraId="3E0873FC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Rate (number of exacerbations)</w:t>
            </w:r>
          </w:p>
        </w:tc>
        <w:tc>
          <w:tcPr>
            <w:tcW w:w="706" w:type="pct"/>
            <w:shd w:val="clear" w:color="auto" w:fill="auto"/>
          </w:tcPr>
          <w:p w14:paraId="6556577F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583</w:t>
            </w:r>
            <w:r w:rsidRPr="00C92999">
              <w:rPr>
                <w:sz w:val="20"/>
              </w:rPr>
              <w:t>.4</w:t>
            </w:r>
            <w:r w:rsidRPr="00C92999">
              <w:rPr>
                <w:rFonts w:eastAsia="Calibri" w:cs="Times New Roman"/>
                <w:sz w:val="20"/>
                <w:szCs w:val="20"/>
              </w:rPr>
              <w:t xml:space="preserve"> (116)</w:t>
            </w:r>
          </w:p>
        </w:tc>
        <w:tc>
          <w:tcPr>
            <w:tcW w:w="618" w:type="pct"/>
            <w:shd w:val="clear" w:color="auto" w:fill="auto"/>
          </w:tcPr>
          <w:p w14:paraId="3C679D5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755.9 (147)</w:t>
            </w:r>
          </w:p>
        </w:tc>
        <w:tc>
          <w:tcPr>
            <w:tcW w:w="619" w:type="pct"/>
            <w:shd w:val="clear" w:color="auto" w:fill="auto"/>
          </w:tcPr>
          <w:p w14:paraId="6E0C1C9F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570.4 (56)</w:t>
            </w:r>
          </w:p>
        </w:tc>
        <w:tc>
          <w:tcPr>
            <w:tcW w:w="619" w:type="pct"/>
            <w:shd w:val="clear" w:color="auto" w:fill="auto"/>
          </w:tcPr>
          <w:p w14:paraId="61B2EFED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772.0 (2868)</w:t>
            </w:r>
          </w:p>
        </w:tc>
        <w:tc>
          <w:tcPr>
            <w:tcW w:w="618" w:type="pct"/>
            <w:shd w:val="clear" w:color="auto" w:fill="auto"/>
          </w:tcPr>
          <w:p w14:paraId="28AB542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883.2 (3054)</w:t>
            </w:r>
          </w:p>
        </w:tc>
        <w:tc>
          <w:tcPr>
            <w:tcW w:w="615" w:type="pct"/>
            <w:shd w:val="clear" w:color="auto" w:fill="auto"/>
          </w:tcPr>
          <w:p w14:paraId="4FC83C13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946.3 (1607)</w:t>
            </w:r>
          </w:p>
        </w:tc>
      </w:tr>
      <w:tr w:rsidR="00A772F4" w:rsidRPr="00C92999" w14:paraId="76133A0F" w14:textId="77777777" w:rsidTr="008B7A7E">
        <w:trPr>
          <w:trHeight w:val="78"/>
        </w:trPr>
        <w:tc>
          <w:tcPr>
            <w:tcW w:w="5000" w:type="pct"/>
            <w:gridSpan w:val="7"/>
            <w:shd w:val="clear" w:color="auto" w:fill="auto"/>
          </w:tcPr>
          <w:p w14:paraId="03ABEF98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COPD exacerbation requiring systemic/oral corticosteroids (with or without an antibiotic)</w:t>
            </w:r>
          </w:p>
        </w:tc>
      </w:tr>
      <w:tr w:rsidR="00A772F4" w:rsidRPr="00C92999" w14:paraId="1B8BA257" w14:textId="77777777" w:rsidTr="008B7A7E">
        <w:trPr>
          <w:trHeight w:val="78"/>
        </w:trPr>
        <w:tc>
          <w:tcPr>
            <w:tcW w:w="1205" w:type="pct"/>
            <w:shd w:val="clear" w:color="auto" w:fill="auto"/>
          </w:tcPr>
          <w:p w14:paraId="5AA75938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n (%)</w:t>
            </w:r>
          </w:p>
        </w:tc>
        <w:tc>
          <w:tcPr>
            <w:tcW w:w="706" w:type="pct"/>
            <w:shd w:val="clear" w:color="auto" w:fill="auto"/>
          </w:tcPr>
          <w:p w14:paraId="6116984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57 (27)</w:t>
            </w:r>
          </w:p>
        </w:tc>
        <w:tc>
          <w:tcPr>
            <w:tcW w:w="618" w:type="pct"/>
            <w:shd w:val="clear" w:color="auto" w:fill="auto"/>
          </w:tcPr>
          <w:p w14:paraId="3ADCBAF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59 (27)</w:t>
            </w:r>
          </w:p>
        </w:tc>
        <w:tc>
          <w:tcPr>
            <w:tcW w:w="619" w:type="pct"/>
            <w:shd w:val="clear" w:color="auto" w:fill="auto"/>
          </w:tcPr>
          <w:p w14:paraId="40FCF05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31 (29)</w:t>
            </w:r>
          </w:p>
        </w:tc>
        <w:tc>
          <w:tcPr>
            <w:tcW w:w="619" w:type="pct"/>
            <w:shd w:val="clear" w:color="auto" w:fill="auto"/>
          </w:tcPr>
          <w:p w14:paraId="429D214E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1636 (39)</w:t>
            </w:r>
          </w:p>
        </w:tc>
        <w:tc>
          <w:tcPr>
            <w:tcW w:w="618" w:type="pct"/>
            <w:shd w:val="clear" w:color="auto" w:fill="auto"/>
          </w:tcPr>
          <w:p w14:paraId="2113962A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1735 (42)</w:t>
            </w:r>
          </w:p>
        </w:tc>
        <w:tc>
          <w:tcPr>
            <w:tcW w:w="615" w:type="pct"/>
            <w:shd w:val="clear" w:color="auto" w:fill="auto"/>
          </w:tcPr>
          <w:p w14:paraId="07748128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921 (44)</w:t>
            </w:r>
          </w:p>
        </w:tc>
      </w:tr>
      <w:tr w:rsidR="00A772F4" w:rsidRPr="00C92999" w14:paraId="083D18D9" w14:textId="77777777" w:rsidTr="008B7A7E">
        <w:trPr>
          <w:trHeight w:val="93"/>
        </w:trPr>
        <w:tc>
          <w:tcPr>
            <w:tcW w:w="1205" w:type="pct"/>
            <w:shd w:val="clear" w:color="auto" w:fill="auto"/>
          </w:tcPr>
          <w:p w14:paraId="56DFB008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Rate (number of exacerbations)</w:t>
            </w:r>
          </w:p>
        </w:tc>
        <w:tc>
          <w:tcPr>
            <w:tcW w:w="706" w:type="pct"/>
            <w:shd w:val="clear" w:color="auto" w:fill="auto"/>
          </w:tcPr>
          <w:p w14:paraId="5E71073C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472.8 (94)</w:t>
            </w:r>
          </w:p>
        </w:tc>
        <w:tc>
          <w:tcPr>
            <w:tcW w:w="618" w:type="pct"/>
            <w:shd w:val="clear" w:color="auto" w:fill="auto"/>
          </w:tcPr>
          <w:p w14:paraId="312F6AF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545.1 (106)</w:t>
            </w:r>
          </w:p>
        </w:tc>
        <w:tc>
          <w:tcPr>
            <w:tcW w:w="619" w:type="pct"/>
            <w:shd w:val="clear" w:color="auto" w:fill="auto"/>
          </w:tcPr>
          <w:p w14:paraId="0326EA89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560.2 (55)</w:t>
            </w:r>
          </w:p>
        </w:tc>
        <w:tc>
          <w:tcPr>
            <w:tcW w:w="619" w:type="pct"/>
            <w:shd w:val="clear" w:color="auto" w:fill="auto"/>
          </w:tcPr>
          <w:p w14:paraId="07003FB9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741.1 (2753)</w:t>
            </w:r>
          </w:p>
        </w:tc>
        <w:tc>
          <w:tcPr>
            <w:tcW w:w="618" w:type="pct"/>
            <w:shd w:val="clear" w:color="auto" w:fill="auto"/>
          </w:tcPr>
          <w:p w14:paraId="2F99474B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856.0 (2960)</w:t>
            </w:r>
          </w:p>
        </w:tc>
        <w:tc>
          <w:tcPr>
            <w:tcW w:w="615" w:type="pct"/>
            <w:shd w:val="clear" w:color="auto" w:fill="auto"/>
          </w:tcPr>
          <w:p w14:paraId="2650E3BA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1001.0 (1700)</w:t>
            </w:r>
          </w:p>
        </w:tc>
      </w:tr>
      <w:tr w:rsidR="00A772F4" w:rsidRPr="00C92999" w14:paraId="2C72FDB4" w14:textId="77777777" w:rsidTr="008B7A7E">
        <w:trPr>
          <w:trHeight w:val="144"/>
        </w:trPr>
        <w:tc>
          <w:tcPr>
            <w:tcW w:w="5000" w:type="pct"/>
            <w:gridSpan w:val="7"/>
            <w:shd w:val="clear" w:color="auto" w:fill="auto"/>
          </w:tcPr>
          <w:p w14:paraId="2AEEF67E" w14:textId="77777777" w:rsidR="00A772F4" w:rsidRPr="00C92999" w:rsidRDefault="00A772F4" w:rsidP="008B7A7E">
            <w:pPr>
              <w:spacing w:after="0" w:line="276" w:lineRule="auto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b/>
                <w:sz w:val="20"/>
                <w:szCs w:val="20"/>
              </w:rPr>
              <w:t>COPD exacerbation requiring antibiotics (with or without a systemic/oral corticosteroid)</w:t>
            </w:r>
          </w:p>
        </w:tc>
      </w:tr>
      <w:tr w:rsidR="00A772F4" w:rsidRPr="00C92999" w14:paraId="28E7C8AA" w14:textId="77777777" w:rsidTr="008B7A7E">
        <w:trPr>
          <w:trHeight w:val="144"/>
        </w:trPr>
        <w:tc>
          <w:tcPr>
            <w:tcW w:w="1205" w:type="pct"/>
            <w:shd w:val="clear" w:color="auto" w:fill="auto"/>
          </w:tcPr>
          <w:p w14:paraId="527BADE1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n (%)</w:t>
            </w:r>
          </w:p>
        </w:tc>
        <w:tc>
          <w:tcPr>
            <w:tcW w:w="706" w:type="pct"/>
            <w:shd w:val="clear" w:color="auto" w:fill="auto"/>
          </w:tcPr>
          <w:p w14:paraId="6DCA7DDE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86 (40)</w:t>
            </w:r>
          </w:p>
        </w:tc>
        <w:tc>
          <w:tcPr>
            <w:tcW w:w="618" w:type="pct"/>
            <w:shd w:val="clear" w:color="auto" w:fill="auto"/>
          </w:tcPr>
          <w:p w14:paraId="0C4BB02D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98 (45)</w:t>
            </w:r>
          </w:p>
        </w:tc>
        <w:tc>
          <w:tcPr>
            <w:tcW w:w="619" w:type="pct"/>
            <w:shd w:val="clear" w:color="auto" w:fill="auto"/>
          </w:tcPr>
          <w:p w14:paraId="4EB27202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45 (42)</w:t>
            </w:r>
          </w:p>
        </w:tc>
        <w:tc>
          <w:tcPr>
            <w:tcW w:w="619" w:type="pct"/>
            <w:shd w:val="clear" w:color="auto" w:fill="auto"/>
          </w:tcPr>
          <w:p w14:paraId="2ECC916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1737 (42)</w:t>
            </w:r>
          </w:p>
        </w:tc>
        <w:tc>
          <w:tcPr>
            <w:tcW w:w="618" w:type="pct"/>
            <w:shd w:val="clear" w:color="auto" w:fill="auto"/>
          </w:tcPr>
          <w:p w14:paraId="78F27AEC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1777 (43)</w:t>
            </w:r>
          </w:p>
        </w:tc>
        <w:tc>
          <w:tcPr>
            <w:tcW w:w="615" w:type="pct"/>
            <w:shd w:val="clear" w:color="auto" w:fill="auto"/>
          </w:tcPr>
          <w:p w14:paraId="0962A886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858 (41)</w:t>
            </w:r>
          </w:p>
        </w:tc>
      </w:tr>
      <w:tr w:rsidR="00A772F4" w:rsidRPr="00C92999" w14:paraId="7114A9CC" w14:textId="77777777" w:rsidTr="008B7A7E">
        <w:trPr>
          <w:trHeight w:val="78"/>
        </w:trPr>
        <w:tc>
          <w:tcPr>
            <w:tcW w:w="1205" w:type="pct"/>
            <w:tcBorders>
              <w:bottom w:val="single" w:sz="4" w:space="0" w:color="auto"/>
            </w:tcBorders>
            <w:shd w:val="clear" w:color="auto" w:fill="auto"/>
          </w:tcPr>
          <w:p w14:paraId="5F09ED22" w14:textId="77777777" w:rsidR="00A772F4" w:rsidRPr="00C92999" w:rsidRDefault="00A772F4" w:rsidP="008B7A7E">
            <w:pPr>
              <w:spacing w:after="0" w:line="276" w:lineRule="auto"/>
              <w:ind w:left="284"/>
              <w:rPr>
                <w:rFonts w:eastAsia="Calibri" w:cs="Times New Roman"/>
                <w:bCs/>
                <w:sz w:val="20"/>
                <w:szCs w:val="20"/>
              </w:rPr>
            </w:pPr>
            <w:r w:rsidRPr="00C92999">
              <w:rPr>
                <w:rFonts w:eastAsia="Calibri" w:cs="Times New Roman"/>
                <w:bCs/>
                <w:sz w:val="20"/>
                <w:szCs w:val="20"/>
              </w:rPr>
              <w:t>Rate (number of exacerbations)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shd w:val="clear" w:color="auto" w:fill="auto"/>
          </w:tcPr>
          <w:p w14:paraId="1ADB2737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814.8 (162)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</w:tcPr>
          <w:p w14:paraId="647C381A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951.3 (185)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auto" w:fill="auto"/>
          </w:tcPr>
          <w:p w14:paraId="0C813675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723.2 (71)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auto" w:fill="auto"/>
          </w:tcPr>
          <w:p w14:paraId="5412E76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763.4 (2836)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</w:tcPr>
          <w:p w14:paraId="7443CCB4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852.0 (2946)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shd w:val="clear" w:color="auto" w:fill="auto"/>
          </w:tcPr>
          <w:p w14:paraId="68110C60" w14:textId="77777777" w:rsidR="00A772F4" w:rsidRPr="00C92999" w:rsidRDefault="00A772F4" w:rsidP="008B7A7E">
            <w:pPr>
              <w:spacing w:after="0" w:line="276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2999">
              <w:rPr>
                <w:rFonts w:eastAsia="Calibri" w:cs="Times New Roman"/>
                <w:sz w:val="20"/>
                <w:szCs w:val="20"/>
              </w:rPr>
              <w:t>833.2 (1415)</w:t>
            </w:r>
          </w:p>
        </w:tc>
      </w:tr>
    </w:tbl>
    <w:p w14:paraId="40C2D8AB" w14:textId="77777777" w:rsidR="00A772F4" w:rsidRPr="00C92999" w:rsidRDefault="00A772F4" w:rsidP="00A772F4">
      <w:pPr>
        <w:spacing w:after="0"/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 xml:space="preserve">Rate = event rate per 1000 subject-years, calculated as the number of events x 1000, divided by the total duration at risk. </w:t>
      </w:r>
    </w:p>
    <w:p w14:paraId="0DFEDEC8" w14:textId="77777777" w:rsidR="00A772F4" w:rsidRPr="00C92999" w:rsidRDefault="00A772F4" w:rsidP="00A772F4">
      <w:pPr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>COPD, chronic obstructive pulmonary disease; FF, fluticasone furoate; ITT, intent-to-treat; UMEC, umeclidinium; VI, vilanterol.</w:t>
      </w:r>
    </w:p>
    <w:p w14:paraId="05B55D26" w14:textId="77777777" w:rsidR="00A772F4" w:rsidRPr="00C92999" w:rsidRDefault="00A772F4" w:rsidP="00A772F4">
      <w:pPr>
        <w:rPr>
          <w:rFonts w:ascii="Calibri" w:eastAsia="Calibri" w:hAnsi="Calibri" w:cs="Times New Roman"/>
        </w:rPr>
        <w:sectPr w:rsidR="00A772F4" w:rsidRPr="00C92999" w:rsidSect="006E3CDA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9C34104" w14:textId="77777777" w:rsidR="00A772F4" w:rsidRPr="00C92999" w:rsidRDefault="00A772F4" w:rsidP="00A772F4">
      <w:pPr>
        <w:spacing w:after="0" w:line="480" w:lineRule="auto"/>
        <w:rPr>
          <w:rFonts w:ascii="Calibri" w:eastAsia="Calibri" w:hAnsi="Calibri" w:cs="Times New Roman"/>
          <w:b/>
        </w:rPr>
      </w:pPr>
      <w:r w:rsidRPr="00C92999">
        <w:rPr>
          <w:rFonts w:ascii="Calibri" w:eastAsia="Calibri" w:hAnsi="Calibri" w:cs="Times New Roman"/>
          <w:b/>
        </w:rPr>
        <w:t>Supplementary Figure 1. Patient disposition</w:t>
      </w:r>
    </w:p>
    <w:p w14:paraId="72A1F17E" w14:textId="77777777" w:rsidR="00A772F4" w:rsidRPr="00C92999" w:rsidRDefault="00A772F4" w:rsidP="00A772F4">
      <w:pPr>
        <w:spacing w:after="0" w:line="480" w:lineRule="auto"/>
        <w:rPr>
          <w:rFonts w:ascii="Calibri" w:eastAsia="Calibri" w:hAnsi="Calibri" w:cs="Times New Roman"/>
          <w:b/>
        </w:rPr>
      </w:pPr>
    </w:p>
    <w:p w14:paraId="49BA7412" w14:textId="77777777" w:rsidR="00A772F4" w:rsidRPr="00C92999" w:rsidRDefault="00A772F4" w:rsidP="00A772F4">
      <w:pPr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>ITT, intent-to-treat</w:t>
      </w:r>
    </w:p>
    <w:p w14:paraId="1103B5C7" w14:textId="77777777" w:rsidR="00A772F4" w:rsidRPr="00C92999" w:rsidRDefault="00A772F4" w:rsidP="00A772F4">
      <w:pPr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>A total of 536 patients in the China population and 10,367 patients in the overall population were randomized. Of these, 12 patients (including 1 patient in China) were randomized in error, recorded as screen failures and were not included in the ITT population.</w:t>
      </w:r>
    </w:p>
    <w:p w14:paraId="56614199" w14:textId="77777777" w:rsidR="00A772F4" w:rsidRPr="00C92999" w:rsidRDefault="00A772F4" w:rsidP="00A772F4">
      <w:pPr>
        <w:rPr>
          <w:rFonts w:ascii="Calibri" w:eastAsia="Calibri" w:hAnsi="Calibri" w:cs="Times New Roman"/>
          <w:b/>
        </w:rPr>
      </w:pPr>
    </w:p>
    <w:p w14:paraId="6C1E6E29" w14:textId="77777777" w:rsidR="00A772F4" w:rsidRPr="00C92999" w:rsidRDefault="00A772F4" w:rsidP="00A772F4">
      <w:pPr>
        <w:rPr>
          <w:rFonts w:ascii="Calibri" w:eastAsia="Calibri" w:hAnsi="Calibri" w:cs="Times New Roman"/>
          <w:b/>
        </w:rPr>
      </w:pPr>
      <w:r w:rsidRPr="00C92999">
        <w:rPr>
          <w:rFonts w:ascii="Calibri" w:eastAsia="Calibri" w:hAnsi="Calibri" w:cs="Times New Roman"/>
          <w:b/>
        </w:rPr>
        <w:t xml:space="preserve">Supplementary Figure 2. LS mean change from baseline in SGRQ total score in (A) China and </w:t>
      </w:r>
      <w:r w:rsidRPr="00C92999">
        <w:rPr>
          <w:rFonts w:ascii="Calibri" w:eastAsia="Calibri" w:hAnsi="Calibri" w:cs="Times New Roman"/>
          <w:b/>
        </w:rPr>
        <w:br/>
        <w:t>(B) overall ITT population</w:t>
      </w:r>
    </w:p>
    <w:p w14:paraId="66750418" w14:textId="77777777" w:rsidR="00A772F4" w:rsidRPr="00C92999" w:rsidRDefault="00A772F4" w:rsidP="00A772F4">
      <w:pPr>
        <w:rPr>
          <w:rFonts w:ascii="Calibri" w:eastAsia="Calibri" w:hAnsi="Calibri" w:cs="Times New Roman"/>
          <w:b/>
        </w:rPr>
      </w:pPr>
    </w:p>
    <w:p w14:paraId="322AE775" w14:textId="77777777" w:rsidR="00A772F4" w:rsidRPr="00C92999" w:rsidRDefault="00A772F4" w:rsidP="00A772F4">
      <w:pPr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>CI, confidence interval; FF, fluticasone furoate; LS, least squares; SGRQ, St George’s Respiratory Questionnaire; UMEC, umeclidinium; VI, vilanterol</w:t>
      </w:r>
    </w:p>
    <w:p w14:paraId="32FE4C12" w14:textId="77777777" w:rsidR="00A772F4" w:rsidRPr="00C92999" w:rsidRDefault="00A772F4" w:rsidP="00A772F4">
      <w:pPr>
        <w:rPr>
          <w:rFonts w:ascii="Calibri" w:eastAsia="Calibri" w:hAnsi="Calibri" w:cs="Times New Roman"/>
          <w:b/>
        </w:rPr>
      </w:pPr>
    </w:p>
    <w:p w14:paraId="60B91CD6" w14:textId="77777777" w:rsidR="00A772F4" w:rsidRPr="00C92999" w:rsidRDefault="00A772F4" w:rsidP="00A772F4">
      <w:pPr>
        <w:rPr>
          <w:rFonts w:ascii="Calibri" w:eastAsia="Calibri" w:hAnsi="Calibri" w:cs="Times New Roman"/>
          <w:b/>
        </w:rPr>
      </w:pPr>
      <w:r w:rsidRPr="00C92999">
        <w:rPr>
          <w:rFonts w:ascii="Calibri" w:eastAsia="Calibri" w:hAnsi="Calibri" w:cs="Times New Roman"/>
          <w:b/>
        </w:rPr>
        <w:t>Supplementary Figure 3. LS mean change from baseline in CAT score in (A) China and (B) overall ITT population</w:t>
      </w:r>
    </w:p>
    <w:p w14:paraId="389436D4" w14:textId="77777777" w:rsidR="00A772F4" w:rsidRPr="00C92999" w:rsidRDefault="00A772F4" w:rsidP="00A772F4">
      <w:pPr>
        <w:rPr>
          <w:rFonts w:ascii="Calibri" w:eastAsia="Calibri" w:hAnsi="Calibri" w:cs="Times New Roman"/>
          <w:b/>
        </w:rPr>
      </w:pPr>
    </w:p>
    <w:p w14:paraId="29082AE0" w14:textId="77777777" w:rsidR="00A772F4" w:rsidRPr="00C92999" w:rsidRDefault="00A772F4" w:rsidP="00A772F4">
      <w:pPr>
        <w:rPr>
          <w:rFonts w:ascii="Calibri" w:eastAsia="Calibri" w:hAnsi="Calibri" w:cs="Times New Roman"/>
        </w:rPr>
      </w:pPr>
      <w:r w:rsidRPr="00C92999">
        <w:rPr>
          <w:rFonts w:ascii="Calibri" w:eastAsia="Calibri" w:hAnsi="Calibri" w:cs="Times New Roman"/>
        </w:rPr>
        <w:t>CAT, COPD Assessment Test; CI, confidence interval; COPD, chronic obstructive pulmonary disease; FF, fluticasone furoate; LS, least squares; UMEC, umeclidinium; VI, vilanterol</w:t>
      </w:r>
    </w:p>
    <w:p w14:paraId="39618E45" w14:textId="77777777" w:rsidR="00A772F4" w:rsidRPr="00C92999" w:rsidRDefault="00A772F4" w:rsidP="00A772F4"/>
    <w:p w14:paraId="6E9BBE10" w14:textId="77777777" w:rsidR="00A772F4" w:rsidRPr="00C92999" w:rsidRDefault="00A772F4" w:rsidP="00A772F4">
      <w:pPr>
        <w:spacing w:line="480" w:lineRule="auto"/>
        <w:rPr>
          <w:rFonts w:ascii="Calibri" w:eastAsia="Calibri" w:hAnsi="Calibri" w:cs="Times New Roman"/>
        </w:rPr>
      </w:pPr>
    </w:p>
    <w:p w14:paraId="47FE2133" w14:textId="77777777" w:rsidR="00733B6C" w:rsidRDefault="00A772F4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2F4"/>
    <w:rsid w:val="00000328"/>
    <w:rsid w:val="000069EE"/>
    <w:rsid w:val="00025756"/>
    <w:rsid w:val="00032569"/>
    <w:rsid w:val="00035209"/>
    <w:rsid w:val="0004068F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A7A52"/>
    <w:rsid w:val="001B64A9"/>
    <w:rsid w:val="001C26C4"/>
    <w:rsid w:val="001C7AFF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A33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030E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C5E3B"/>
    <w:rsid w:val="004D27A5"/>
    <w:rsid w:val="004D35BA"/>
    <w:rsid w:val="004E2003"/>
    <w:rsid w:val="004F2741"/>
    <w:rsid w:val="00502B76"/>
    <w:rsid w:val="0050412B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A390D"/>
    <w:rsid w:val="005A4981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41D68"/>
    <w:rsid w:val="00644DE7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204CB"/>
    <w:rsid w:val="00732BBB"/>
    <w:rsid w:val="0074173F"/>
    <w:rsid w:val="007422FF"/>
    <w:rsid w:val="00755696"/>
    <w:rsid w:val="007725D1"/>
    <w:rsid w:val="007857F1"/>
    <w:rsid w:val="00787B51"/>
    <w:rsid w:val="00787C11"/>
    <w:rsid w:val="0079268F"/>
    <w:rsid w:val="007A5A62"/>
    <w:rsid w:val="007B0F02"/>
    <w:rsid w:val="007C33E3"/>
    <w:rsid w:val="007E060A"/>
    <w:rsid w:val="007E2C2D"/>
    <w:rsid w:val="007E7A36"/>
    <w:rsid w:val="007F2574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46C93"/>
    <w:rsid w:val="00967432"/>
    <w:rsid w:val="00971AF8"/>
    <w:rsid w:val="00975606"/>
    <w:rsid w:val="00976A2B"/>
    <w:rsid w:val="00993E58"/>
    <w:rsid w:val="009C2A19"/>
    <w:rsid w:val="009C5B06"/>
    <w:rsid w:val="009C7FB2"/>
    <w:rsid w:val="009F2B16"/>
    <w:rsid w:val="009F35D2"/>
    <w:rsid w:val="00A05228"/>
    <w:rsid w:val="00A10239"/>
    <w:rsid w:val="00A36B3E"/>
    <w:rsid w:val="00A36FCD"/>
    <w:rsid w:val="00A772F4"/>
    <w:rsid w:val="00A9470F"/>
    <w:rsid w:val="00AA5329"/>
    <w:rsid w:val="00AB15C9"/>
    <w:rsid w:val="00AE77CA"/>
    <w:rsid w:val="00AF0F2F"/>
    <w:rsid w:val="00B13259"/>
    <w:rsid w:val="00B17D2E"/>
    <w:rsid w:val="00B327BE"/>
    <w:rsid w:val="00B34AFB"/>
    <w:rsid w:val="00B4529B"/>
    <w:rsid w:val="00BD6D5A"/>
    <w:rsid w:val="00C047B1"/>
    <w:rsid w:val="00C04A8B"/>
    <w:rsid w:val="00C246CD"/>
    <w:rsid w:val="00C3678B"/>
    <w:rsid w:val="00C4338D"/>
    <w:rsid w:val="00C43A77"/>
    <w:rsid w:val="00C5427F"/>
    <w:rsid w:val="00C913B9"/>
    <w:rsid w:val="00CD38D4"/>
    <w:rsid w:val="00CE2C9B"/>
    <w:rsid w:val="00CE30C6"/>
    <w:rsid w:val="00CE7102"/>
    <w:rsid w:val="00CF1B47"/>
    <w:rsid w:val="00CF2698"/>
    <w:rsid w:val="00D23932"/>
    <w:rsid w:val="00D26DC2"/>
    <w:rsid w:val="00D27CF9"/>
    <w:rsid w:val="00D34D7E"/>
    <w:rsid w:val="00D37A46"/>
    <w:rsid w:val="00D46A04"/>
    <w:rsid w:val="00D559CB"/>
    <w:rsid w:val="00D61012"/>
    <w:rsid w:val="00D61123"/>
    <w:rsid w:val="00D70913"/>
    <w:rsid w:val="00D75962"/>
    <w:rsid w:val="00D872AB"/>
    <w:rsid w:val="00D92712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81E19"/>
    <w:rsid w:val="00EA099E"/>
    <w:rsid w:val="00EA30D8"/>
    <w:rsid w:val="00EB7210"/>
    <w:rsid w:val="00EC2F16"/>
    <w:rsid w:val="00EC4D5C"/>
    <w:rsid w:val="00ED12E3"/>
    <w:rsid w:val="00EE20C0"/>
    <w:rsid w:val="00F07610"/>
    <w:rsid w:val="00F146BE"/>
    <w:rsid w:val="00F17541"/>
    <w:rsid w:val="00F2244C"/>
    <w:rsid w:val="00F278B6"/>
    <w:rsid w:val="00F34E9C"/>
    <w:rsid w:val="00F36E9E"/>
    <w:rsid w:val="00F45713"/>
    <w:rsid w:val="00F47BD2"/>
    <w:rsid w:val="00F54C2E"/>
    <w:rsid w:val="00F80B25"/>
    <w:rsid w:val="00FA0EB4"/>
    <w:rsid w:val="00FB0F81"/>
    <w:rsid w:val="00FC33E9"/>
    <w:rsid w:val="00FE50B9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67DF5B"/>
  <w14:defaultImageDpi w14:val="32767"/>
  <w15:chartTrackingRefBased/>
  <w15:docId w15:val="{208FE7E0-928F-F341-990C-0E6B7C7C9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772F4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2019-12-02T22:40:00Z</dcterms:created>
  <dcterms:modified xsi:type="dcterms:W3CDTF">2019-12-02T22:40:00Z</dcterms:modified>
</cp:coreProperties>
</file>